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D7" w:rsidRPr="00611CD7" w:rsidRDefault="00611CD7" w:rsidP="00611CD7">
      <w:pPr>
        <w:keepNext/>
        <w:keepLines/>
        <w:outlineLvl w:val="1"/>
        <w:rPr>
          <w:rFonts w:eastAsia="Times New Roman" w:cs="Times New Roman"/>
          <w:b/>
          <w:bCs/>
          <w:spacing w:val="-6"/>
          <w:sz w:val="28"/>
          <w:szCs w:val="26"/>
        </w:rPr>
      </w:pPr>
      <w:bookmarkStart w:id="0" w:name="_Toc69903873"/>
      <w:bookmarkStart w:id="1" w:name="_Toc71786067"/>
      <w:bookmarkStart w:id="2" w:name="_Toc75250902"/>
      <w:bookmarkStart w:id="3" w:name="_GoBack"/>
      <w:bookmarkEnd w:id="3"/>
      <w:r w:rsidRPr="00611CD7">
        <w:rPr>
          <w:rFonts w:eastAsia="Times New Roman" w:cs="Times New Roman"/>
          <w:b/>
          <w:bCs/>
          <w:spacing w:val="-6"/>
          <w:sz w:val="28"/>
          <w:szCs w:val="26"/>
        </w:rPr>
        <w:t>Appendix C: Self-assessment tool for Councils</w:t>
      </w:r>
      <w:bookmarkEnd w:id="0"/>
      <w:bookmarkEnd w:id="1"/>
      <w:bookmarkEnd w:id="2"/>
    </w:p>
    <w:p w:rsidR="00611CD7" w:rsidRPr="00611CD7" w:rsidRDefault="00611CD7" w:rsidP="00611CD7">
      <w:pPr>
        <w:rPr>
          <w:rFonts w:eastAsia="Calibri" w:cs="Times New Roman"/>
        </w:rPr>
      </w:pPr>
      <w:r w:rsidRPr="00611CD7">
        <w:rPr>
          <w:rFonts w:eastAsia="Calibri" w:cs="Times New Roman"/>
        </w:rPr>
        <w:t xml:space="preserve">This tool can be used to assess whether your Council is implementing good practices to enable, respond to and learn from complaints. The </w:t>
      </w:r>
      <w:r w:rsidRPr="00611CD7">
        <w:rPr>
          <w:rFonts w:eastAsia="Calibri" w:cs="Times New Roman"/>
          <w:b/>
          <w:bCs/>
        </w:rPr>
        <w:t>targets</w:t>
      </w:r>
      <w:r w:rsidRPr="00611CD7">
        <w:rPr>
          <w:rFonts w:eastAsia="Calibri" w:cs="Times New Roman"/>
        </w:rPr>
        <w:t xml:space="preserve"> in this Guide reflect the three concepts which are fundamental to complaint handling. The </w:t>
      </w:r>
      <w:r w:rsidRPr="00611CD7">
        <w:rPr>
          <w:rFonts w:eastAsia="Calibri" w:cs="Times New Roman"/>
          <w:b/>
          <w:bCs/>
        </w:rPr>
        <w:t>focus areas</w:t>
      </w:r>
      <w:r w:rsidRPr="00611CD7">
        <w:rPr>
          <w:rFonts w:eastAsia="Calibri" w:cs="Times New Roman"/>
        </w:rPr>
        <w:t xml:space="preserve"> represent the core elements of a good practice complaint process as set out in the Victorian Ombudsman’s </w:t>
      </w:r>
      <w:r w:rsidRPr="00611CD7">
        <w:rPr>
          <w:rFonts w:eastAsia="Calibri" w:cs="Times New Roman"/>
          <w:i/>
          <w:iCs/>
        </w:rPr>
        <w:t xml:space="preserve">Councils and Complaints – A Good Practice Guide </w:t>
      </w:r>
      <w:r w:rsidRPr="00611CD7">
        <w:rPr>
          <w:rFonts w:eastAsia="Calibri" w:cs="Times New Roman"/>
        </w:rPr>
        <w:t>(2nd edition).</w:t>
      </w:r>
    </w:p>
    <w:tbl>
      <w:tblPr>
        <w:tblStyle w:val="GridTable1Light-Accent41"/>
        <w:tblW w:w="144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260"/>
        <w:gridCol w:w="1560"/>
        <w:gridCol w:w="2032"/>
        <w:gridCol w:w="2033"/>
        <w:gridCol w:w="2033"/>
      </w:tblGrid>
      <w:tr w:rsidR="00611CD7" w:rsidRPr="00611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Target</w:t>
            </w:r>
          </w:p>
        </w:tc>
        <w:tc>
          <w:tcPr>
            <w:tcW w:w="1984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ind w:right="3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Focus area</w:t>
            </w:r>
          </w:p>
        </w:tc>
        <w:tc>
          <w:tcPr>
            <w:tcW w:w="3260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1560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Rating (Met /Not met)</w:t>
            </w:r>
          </w:p>
        </w:tc>
        <w:tc>
          <w:tcPr>
            <w:tcW w:w="2032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Evidence</w:t>
            </w:r>
          </w:p>
        </w:tc>
        <w:tc>
          <w:tcPr>
            <w:tcW w:w="2033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Improvements</w:t>
            </w:r>
          </w:p>
        </w:tc>
        <w:tc>
          <w:tcPr>
            <w:tcW w:w="2033" w:type="dxa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Action item / Responsibility</w:t>
            </w: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3FB7C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Enabling complaints</w:t>
            </w:r>
          </w:p>
        </w:tc>
        <w:tc>
          <w:tcPr>
            <w:tcW w:w="1984" w:type="dxa"/>
            <w:vMerge w:val="restart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Commitment</w:t>
            </w:r>
          </w:p>
        </w:tc>
        <w:tc>
          <w:tcPr>
            <w:tcW w:w="32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Organisational culture that views complaints positively</w:t>
            </w:r>
          </w:p>
        </w:tc>
        <w:tc>
          <w:tcPr>
            <w:tcW w:w="15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Oversight and leadership from CEO and managers</w:t>
            </w:r>
          </w:p>
        </w:tc>
        <w:tc>
          <w:tcPr>
            <w:tcW w:w="15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All staff aware of Council’s complaint process and their individual responsibilities</w:t>
            </w:r>
          </w:p>
        </w:tc>
        <w:tc>
          <w:tcPr>
            <w:tcW w:w="15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Consistent approach</w:t>
            </w: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 xml:space="preserve">Approved Council-wide complaints policy 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Clear approach for handling complaints to or about the Council, Council staff, CEO and contractors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 xml:space="preserve">Councillors, Council staff and contractors are provided training appropriate to their </w:t>
            </w:r>
            <w:r w:rsidRPr="00611CD7">
              <w:rPr>
                <w:rFonts w:eastAsia="Calibri" w:cs="Times New Roman"/>
                <w:sz w:val="20"/>
                <w:szCs w:val="20"/>
              </w:rPr>
              <w:lastRenderedPageBreak/>
              <w:t>role and likely level of interaction with complainants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Transparency</w:t>
            </w:r>
          </w:p>
        </w:tc>
        <w:tc>
          <w:tcPr>
            <w:tcW w:w="32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Information about complaint process, including internal reviews and external review is published on website, together with Council’s complaints policy. Information can be provided in hard copy</w:t>
            </w:r>
          </w:p>
        </w:tc>
        <w:tc>
          <w:tcPr>
            <w:tcW w:w="15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Website includes prominent links to complaint information</w:t>
            </w:r>
          </w:p>
        </w:tc>
        <w:tc>
          <w:tcPr>
            <w:tcW w:w="1560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2E2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Accessibility</w:t>
            </w: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Complaints can be made through multiple channels, and outside business hours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Information is published in accessible formats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There is an option for complaints to be made on behalf of another person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Complainants’ communication needs are reasonably accommodated without charge</w:t>
            </w:r>
          </w:p>
        </w:tc>
        <w:tc>
          <w:tcPr>
            <w:tcW w:w="1560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8F0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2B49B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Responding to complaints</w:t>
            </w:r>
          </w:p>
        </w:tc>
        <w:tc>
          <w:tcPr>
            <w:tcW w:w="1984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Timeliness</w:t>
            </w: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Acknowledgement, progress and response time targets meet minimum standards:</w:t>
            </w:r>
          </w:p>
          <w:p w:rsidR="00611CD7" w:rsidRPr="00611CD7" w:rsidRDefault="00611CD7" w:rsidP="00611CD7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lastRenderedPageBreak/>
              <w:t>five business</w:t>
            </w:r>
            <w:r w:rsidRPr="00611CD7">
              <w:rPr>
                <w:rFonts w:eastAsia="Calibri" w:cs="Times New Roman"/>
                <w:sz w:val="20"/>
              </w:rPr>
              <w:t xml:space="preserve"> days (or less) </w:t>
            </w:r>
            <w:r w:rsidRPr="00611CD7">
              <w:rPr>
                <w:rFonts w:eastAsia="Calibri" w:cs="Times New Roman"/>
                <w:sz w:val="20"/>
                <w:szCs w:val="20"/>
              </w:rPr>
              <w:t>for acknowledgement</w:t>
            </w:r>
          </w:p>
          <w:p w:rsidR="00611CD7" w:rsidRPr="00611CD7" w:rsidRDefault="00611CD7" w:rsidP="00611CD7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30 calendar</w:t>
            </w:r>
            <w:r w:rsidRPr="00611CD7">
              <w:rPr>
                <w:rFonts w:eastAsia="Calibri" w:cs="Times New Roman"/>
                <w:sz w:val="20"/>
              </w:rPr>
              <w:t xml:space="preserve"> days (or less)</w:t>
            </w:r>
            <w:r w:rsidRPr="00611CD7">
              <w:rPr>
                <w:rFonts w:eastAsia="Calibri" w:cs="Times New Roman"/>
                <w:sz w:val="20"/>
                <w:szCs w:val="20"/>
              </w:rPr>
              <w:t xml:space="preserve"> for response</w:t>
            </w:r>
          </w:p>
          <w:p w:rsidR="00611CD7" w:rsidRPr="00611CD7" w:rsidRDefault="00611CD7" w:rsidP="00611CD7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for longer investigation, updates provided at least once every 30 calendar days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Triage</w:t>
            </w: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Processes support early intervention and resolution of complaints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 tiered approach to complaint escalation is used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Officers handling complaints have delegated authority to resolve them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Managing expectations</w:t>
            </w: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 process is communicated early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Realistic outcomes are outlined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Fairness</w:t>
            </w: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All parties are provided a fair opportunity to be heard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Complaints are considered individually on their merit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Conflicts of interests are declared and managed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 xml:space="preserve">In responding to complaints, regard is given to human rights under the </w:t>
            </w:r>
            <w:r w:rsidRPr="00611CD7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Charter of Human Rights and Responsibilities Act 2006 </w:t>
            </w:r>
            <w:r w:rsidRPr="00611CD7">
              <w:rPr>
                <w:rFonts w:eastAsia="Calibri" w:cs="Times New Roman"/>
                <w:sz w:val="20"/>
                <w:szCs w:val="20"/>
              </w:rPr>
              <w:t>(Vic)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Evidence and objectivity</w:t>
            </w: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 xml:space="preserve">Information from multiple sources is gathered and </w:t>
            </w:r>
            <w:proofErr w:type="gramStart"/>
            <w:r w:rsidRPr="00611CD7">
              <w:rPr>
                <w:rFonts w:eastAsia="Calibri" w:cs="Times New Roman"/>
                <w:sz w:val="20"/>
                <w:szCs w:val="20"/>
              </w:rPr>
              <w:t>taken into account</w:t>
            </w:r>
            <w:proofErr w:type="gramEnd"/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Complaints are assessed against relevant legislation, policies and guidelines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Consideration is given to whether discretionary powers have been appropriately exercised to produce fair and reasonable outcome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Decisions are logical and based on the evidence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Communicating effectively</w:t>
            </w: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 xml:space="preserve">Complainants’ communication needs and preferences are </w:t>
            </w:r>
            <w:proofErr w:type="gramStart"/>
            <w:r w:rsidRPr="00611CD7">
              <w:rPr>
                <w:rFonts w:eastAsia="Calibri" w:cs="Times New Roman"/>
                <w:sz w:val="20"/>
                <w:szCs w:val="20"/>
              </w:rPr>
              <w:t>taken into account</w:t>
            </w:r>
            <w:proofErr w:type="gramEnd"/>
            <w:r w:rsidRPr="00611CD7">
              <w:rPr>
                <w:rFonts w:eastAsia="Calibri" w:cs="Times New Roman"/>
                <w:sz w:val="20"/>
                <w:szCs w:val="20"/>
              </w:rPr>
              <w:t xml:space="preserve"> and reasonably accommodated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 xml:space="preserve">Communications are in plain </w:t>
            </w:r>
            <w:r w:rsidRPr="00611CD7">
              <w:rPr>
                <w:rFonts w:eastAsia="Calibri" w:cs="Times New Roman"/>
                <w:sz w:val="20"/>
                <w:szCs w:val="20"/>
              </w:rPr>
              <w:lastRenderedPageBreak/>
              <w:t>English and always tailored to the circumstances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Written outcomes are provided where a substantial investigation is conducted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Reasons for decisions are communicated by an identifiable officer or team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Personal Privacy</w:t>
            </w: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Personal information is stored securely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Access to personal information is controlled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Personal information is only used for the purpose it was collected, and consent obtained before information is used for any other purpose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Information that is published is de-identified (and cannot be re-attributed to a person)</w:t>
            </w:r>
          </w:p>
        </w:tc>
        <w:tc>
          <w:tcPr>
            <w:tcW w:w="1560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1B1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Review options</w:t>
            </w: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Internal review process is established, which:</w:t>
            </w:r>
          </w:p>
          <w:p w:rsidR="00611CD7" w:rsidRPr="00611CD7" w:rsidRDefault="00611CD7" w:rsidP="00611CD7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is conducted by an independent senior officer</w:t>
            </w:r>
          </w:p>
          <w:p w:rsidR="00611CD7" w:rsidRPr="00611CD7" w:rsidRDefault="00611CD7" w:rsidP="00611CD7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lastRenderedPageBreak/>
              <w:t xml:space="preserve">is independent </w:t>
            </w:r>
            <w:r w:rsidR="00D81E92">
              <w:rPr>
                <w:rFonts w:eastAsia="Calibri" w:cs="Times New Roman"/>
                <w:sz w:val="20"/>
                <w:szCs w:val="20"/>
              </w:rPr>
              <w:t>of</w:t>
            </w:r>
            <w:r w:rsidRPr="00611CD7">
              <w:rPr>
                <w:rFonts w:eastAsia="Calibri" w:cs="Times New Roman"/>
                <w:sz w:val="20"/>
                <w:szCs w:val="20"/>
              </w:rPr>
              <w:t xml:space="preserve"> the original complaint process</w:t>
            </w:r>
          </w:p>
          <w:p w:rsidR="00611CD7" w:rsidRPr="00611CD7" w:rsidRDefault="00611CD7" w:rsidP="00611CD7">
            <w:pPr>
              <w:numPr>
                <w:ilvl w:val="0"/>
                <w:numId w:val="1"/>
              </w:num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can result in decisions being upheld, overturned, or improvements made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Complainants routinely offered internal and external review options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External review options are published on Council’s website</w:t>
            </w:r>
          </w:p>
        </w:tc>
        <w:tc>
          <w:tcPr>
            <w:tcW w:w="1560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D0D8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0A7BA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color w:val="FFFFFF"/>
                <w:sz w:val="20"/>
                <w:szCs w:val="20"/>
              </w:rPr>
            </w:pPr>
            <w:r w:rsidRPr="00611CD7">
              <w:rPr>
                <w:rFonts w:eastAsia="Calibri" w:cs="Times New Roman"/>
                <w:color w:val="FFFFFF"/>
                <w:sz w:val="20"/>
                <w:szCs w:val="20"/>
              </w:rPr>
              <w:t>Learning and improving</w:t>
            </w:r>
          </w:p>
        </w:tc>
        <w:tc>
          <w:tcPr>
            <w:tcW w:w="1984" w:type="dxa"/>
            <w:vMerge w:val="restart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Systematic recording</w:t>
            </w:r>
          </w:p>
        </w:tc>
        <w:tc>
          <w:tcPr>
            <w:tcW w:w="32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All complaints are recorded in a systematic way</w:t>
            </w:r>
          </w:p>
        </w:tc>
        <w:tc>
          <w:tcPr>
            <w:tcW w:w="15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Leaders are responsible for auditing the quality of complaint data</w:t>
            </w:r>
          </w:p>
        </w:tc>
        <w:tc>
          <w:tcPr>
            <w:tcW w:w="15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Analysis</w:t>
            </w:r>
          </w:p>
        </w:tc>
        <w:tc>
          <w:tcPr>
            <w:tcW w:w="32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 data is regularly reviewed to identify trends and opportunities to improve</w:t>
            </w:r>
          </w:p>
        </w:tc>
        <w:tc>
          <w:tcPr>
            <w:tcW w:w="15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Trends and systemic issues are reported to and discussed with senior leaders</w:t>
            </w:r>
          </w:p>
        </w:tc>
        <w:tc>
          <w:tcPr>
            <w:tcW w:w="15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Improvements</w:t>
            </w:r>
          </w:p>
        </w:tc>
        <w:tc>
          <w:tcPr>
            <w:tcW w:w="32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 data is used to drive continuous improvement</w:t>
            </w:r>
          </w:p>
        </w:tc>
        <w:tc>
          <w:tcPr>
            <w:tcW w:w="15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Health-check of complaint system is scheduled and undertaken regularly</w:t>
            </w:r>
          </w:p>
        </w:tc>
        <w:tc>
          <w:tcPr>
            <w:tcW w:w="1560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D6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Reporting</w:t>
            </w:r>
          </w:p>
        </w:tc>
        <w:tc>
          <w:tcPr>
            <w:tcW w:w="32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 statistics, trends and related initiatives are reported to senior leaders</w:t>
            </w:r>
          </w:p>
        </w:tc>
        <w:tc>
          <w:tcPr>
            <w:tcW w:w="15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11CD7" w:rsidRPr="00611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611CD7">
              <w:rPr>
                <w:rFonts w:eastAsia="Calibri" w:cs="Times New Roman"/>
                <w:sz w:val="20"/>
                <w:szCs w:val="20"/>
              </w:rPr>
              <w:t>Complaint data and outcomes are published in annual report</w:t>
            </w:r>
          </w:p>
        </w:tc>
        <w:tc>
          <w:tcPr>
            <w:tcW w:w="1560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BFEAF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CD7" w:rsidRPr="00611CD7" w:rsidRDefault="00611CD7" w:rsidP="00611C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5F68A6" w:rsidRPr="00611CD7" w:rsidRDefault="005F68A6" w:rsidP="00611CD7"/>
    <w:sectPr w:rsidR="005F68A6" w:rsidRPr="00611CD7" w:rsidSect="00611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0B" w:rsidRDefault="006C3E0B" w:rsidP="00D8113F">
      <w:pPr>
        <w:spacing w:before="0" w:after="0" w:line="240" w:lineRule="auto"/>
      </w:pPr>
      <w:r>
        <w:separator/>
      </w:r>
    </w:p>
  </w:endnote>
  <w:endnote w:type="continuationSeparator" w:id="0">
    <w:p w:rsidR="006C3E0B" w:rsidRDefault="006C3E0B" w:rsidP="00D81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3F" w:rsidRDefault="00D81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3F" w:rsidRDefault="00D81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3F" w:rsidRDefault="00D8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0B" w:rsidRDefault="006C3E0B" w:rsidP="00D8113F">
      <w:pPr>
        <w:spacing w:before="0" w:after="0" w:line="240" w:lineRule="auto"/>
      </w:pPr>
      <w:r>
        <w:separator/>
      </w:r>
    </w:p>
  </w:footnote>
  <w:footnote w:type="continuationSeparator" w:id="0">
    <w:p w:rsidR="006C3E0B" w:rsidRDefault="006C3E0B" w:rsidP="00D811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3F" w:rsidRDefault="00D8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3F" w:rsidRDefault="00D81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3F" w:rsidRDefault="00D81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1AB2"/>
    <w:multiLevelType w:val="hybridMultilevel"/>
    <w:tmpl w:val="89B0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CD7"/>
    <w:rsid w:val="004F4892"/>
    <w:rsid w:val="005D3631"/>
    <w:rsid w:val="005F68A6"/>
    <w:rsid w:val="00611CD7"/>
    <w:rsid w:val="006C3E0B"/>
    <w:rsid w:val="00CC677A"/>
    <w:rsid w:val="00D8113F"/>
    <w:rsid w:val="00D8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CB0E0-256D-4731-AF3F-50411456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CD7"/>
    <w:pPr>
      <w:spacing w:before="120" w:after="120" w:line="276" w:lineRule="auto"/>
    </w:pPr>
  </w:style>
  <w:style w:type="paragraph" w:styleId="Heading2">
    <w:name w:val="heading 2"/>
    <w:basedOn w:val="Normal"/>
    <w:next w:val="Normal"/>
    <w:link w:val="Heading2Char"/>
    <w:uiPriority w:val="1"/>
    <w:qFormat/>
    <w:rsid w:val="00611CD7"/>
    <w:pPr>
      <w:keepNext/>
      <w:keepLines/>
      <w:outlineLvl w:val="1"/>
    </w:pPr>
    <w:rPr>
      <w:rFonts w:eastAsiaTheme="majorEastAsia" w:cstheme="majorBidi"/>
      <w:b/>
      <w:bCs/>
      <w:spacing w:val="-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11CD7"/>
    <w:rPr>
      <w:rFonts w:eastAsiaTheme="majorEastAsia" w:cstheme="majorBidi"/>
      <w:b/>
      <w:bCs/>
      <w:spacing w:val="-6"/>
      <w:sz w:val="28"/>
      <w:szCs w:val="26"/>
    </w:rPr>
  </w:style>
  <w:style w:type="paragraph" w:styleId="ListParagraph">
    <w:name w:val="List Paragraph"/>
    <w:basedOn w:val="Normal"/>
    <w:uiPriority w:val="34"/>
    <w:unhideWhenUsed/>
    <w:qFormat/>
    <w:rsid w:val="00611CD7"/>
    <w:pPr>
      <w:ind w:left="720"/>
      <w:contextualSpacing/>
    </w:pPr>
  </w:style>
  <w:style w:type="table" w:customStyle="1" w:styleId="GridTable1Light-Accent41">
    <w:name w:val="Grid Table 1 Light - Accent 41"/>
    <w:basedOn w:val="TableNormal"/>
    <w:uiPriority w:val="46"/>
    <w:rsid w:val="00611CD7"/>
    <w:tblPr>
      <w:tblStyleRowBandSize w:val="1"/>
      <w:tblStyleColBandSize w:val="1"/>
      <w:tblBorders>
        <w:top w:val="single" w:sz="4" w:space="0" w:color="F8F9FC" w:themeColor="accent4" w:themeTint="66"/>
        <w:left w:val="single" w:sz="4" w:space="0" w:color="F8F9FC" w:themeColor="accent4" w:themeTint="66"/>
        <w:bottom w:val="single" w:sz="4" w:space="0" w:color="F8F9FC" w:themeColor="accent4" w:themeTint="66"/>
        <w:right w:val="single" w:sz="4" w:space="0" w:color="F8F9FC" w:themeColor="accent4" w:themeTint="66"/>
        <w:insideH w:val="single" w:sz="4" w:space="0" w:color="F8F9FC" w:themeColor="accent4" w:themeTint="66"/>
        <w:insideV w:val="single" w:sz="4" w:space="0" w:color="F8F9F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F7F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7F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811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3F"/>
  </w:style>
  <w:style w:type="paragraph" w:styleId="Footer">
    <w:name w:val="footer"/>
    <w:basedOn w:val="Normal"/>
    <w:link w:val="FooterChar"/>
    <w:uiPriority w:val="99"/>
    <w:unhideWhenUsed/>
    <w:rsid w:val="00D8113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O colours">
      <a:dk1>
        <a:sysClr val="windowText" lastClr="000000"/>
      </a:dk1>
      <a:lt1>
        <a:sysClr val="window" lastClr="FFFFFF"/>
      </a:lt1>
      <a:dk2>
        <a:srgbClr val="1A1B47"/>
      </a:dk2>
      <a:lt2>
        <a:srgbClr val="EDF8F9"/>
      </a:lt2>
      <a:accent1>
        <a:srgbClr val="2B49B1"/>
      </a:accent1>
      <a:accent2>
        <a:srgbClr val="0A7BA6"/>
      </a:accent2>
      <a:accent3>
        <a:srgbClr val="3FB7C2"/>
      </a:accent3>
      <a:accent4>
        <a:srgbClr val="EFF2F8"/>
      </a:accent4>
      <a:accent5>
        <a:srgbClr val="FC6F5E"/>
      </a:accent5>
      <a:accent6>
        <a:srgbClr val="F9EA9B"/>
      </a:accent6>
      <a:hlink>
        <a:srgbClr val="BFBFBF"/>
      </a:hlink>
      <a:folHlink>
        <a:srgbClr val="BFBFB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C652BA-7491-453A-816A-5BA61F05BC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Eleanora Cahill</dc:creator>
  <cp:keywords/>
  <dc:description/>
  <cp:lastModifiedBy>Jessica Ball</cp:lastModifiedBy>
  <cp:revision>3</cp:revision>
  <dcterms:created xsi:type="dcterms:W3CDTF">2021-07-26T02:44:00Z</dcterms:created>
  <dcterms:modified xsi:type="dcterms:W3CDTF">2021-07-26T02:47:00Z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43d38f90-6862-4c39-a4f5-ee92a04c97e7</vt:lpwstr>
  </property>
  <property fmtid="{D5CDD505-2E9C-101B-9397-08002B2CF9AE}" pid="3" name="VOClassification">
    <vt:lpwstr>VOUO</vt:lpwstr>
  </property>
</Properties>
</file>